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97</w:t>
      </w:r>
    </w:p>
    <w:p>
      <w:r>
        <w:t>Bundesgericht (BGE), 1986-05-02, DE</w:t>
      </w:r>
    </w:p>
    <w:p>
      <w:r>
        <w:rPr>
          <w:b/>
        </w:rPr>
        <w:t xml:space="preserve">Quelle: </w:t>
      </w:r>
      <w:r>
        <w:t>https://mcp.opencaselaw.ch/entscheid/bge_112 V 97</w:t>
      </w:r>
    </w:p>
    <w:p>
      <w:r>
        <w:t>FR: ATF 112 V 97</w:t>
      </w:r>
    </w:p>
    <w:p>
      <w:r>
        <w:t>IT: DTF 112 V 97</w:t>
      </w:r>
    </w:p>
    <w:p>
      <w:pPr>
        <w:pStyle w:val="Heading2"/>
      </w:pPr>
      <w:r>
        <w:t>Regeste</w:t>
      </w:r>
    </w:p>
    <w:p>
      <w:r>
        <w:t>Regeste Art. 104, 105, 132 OG: Überprüfungsbefugnis des Eidg. Versicherungsgerichts im Beschwerdeverfahren betreffend Rückforderung von Versicherungsleistungen und betreffend Erlass der Rückerstattung (Erw. 1b). Art. 47 Abs. 1 AHVG, Art. 76 und 78 AHVV, Art. 77 und 88bis Abs. 2 lit. b IVV: Rückerstattung einer zu Unrecht bezogenen Invalidenrente. - Sowohl der bevormundete Versicherte als auch sein Vormund sind meldepflichtig, wenn das Mündel eine Erwerbstätigkeit aufnimmt (Erw. 2a). - Der Vormund ist nicht rückerstattungspflichtig (Erw. 2b). - Bei der Prüfung der Meldepflichtverletzung hat sich der Versicherte das Verhalten seines Vormunds anrechnen zu lassen (Erw. 3b). Art. 47 Abs. 1 AHVG: Erlass der Rückerstattung. - Eine leichte Meldepflichtverletzung schliesst die Annahme des guten Glaubens nicht aus (Erw. 2c). - Der Versicherte hat sich den guten oder bösen Glauben des Vormunds anrechnen zu lassen; hingegen ist die Frage der grossen Härte einzig in der Person und nach den Verhältnissen des Versicherten zu prüfen (Erw. 3c).</w:t>
      </w:r>
    </w:p>
    <w:p>
      <w:pPr>
        <w:pStyle w:val="Heading2"/>
      </w:pPr>
      <w:r>
        <w:t>Erwägungen</w:t>
      </w:r>
    </w:p>
    <w:p>
      <w:r>
        <w:rPr>
          <w:b/>
        </w:rPr>
        <w:t>E. 1</w:t>
      </w:r>
    </w:p>
    <w:p>
      <w:r>
        <w:t>Zu prüfen ist zunächst, was den Streitgegenstand des vorliegenden Verfahrens abgibt und nach welcher Kognition sich dieser Streitgegenstand beurteilt. a) Streitgegenstand im System der nachträglichen Verwaltungsrechtspflege ist das Rechtsverhältnis, welches - im Rahmen des durch die Verfügung bestimmten Anfechtungsgegenstandes - den aufgrund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aufgrund der Beschwerdebegehren nicht mehr streitige - somit nicht zum Streitgegenstand zählende - Fragen prüft der Richter nur, wenn die nicht BGE 112 V 97 S. 100 beanstandeten Punkte in engem Sachzusammenhang mit dem Streitgegenstand stehen ( BGE 110 V 51 Erw. 3c mit Hinweisen). Objekt des vorinstanzlichen Entscheides und damit Anfechtungsgegenstand sind einerseits die bestätigten Rückforderungsverfügungen vom 20. Juli sowie 17. Oktober 1983 und anderseits die Abweisung der beschwerdeweise wiederholten Erlassgesuche. Da mit der Verwaltungsgerichtsbeschwerde die vollumfängliche Aufhebung des vorinstanzlichen Entscheides beantragt wird, gehören vorliegend sowohl die Rückerstattungspflicht als auch der Erlass zum Streitgegenstand. Daher sind beide Punkte einer Beurteilung in diesem Prozess zugänglich. b) Die Kognition des Eidg. Versicherungsgerichts ist unterschiedlich, je nachdem ob es um Versicherungsleistungen oder anderes geht. Unter Versicherungsleistungen im Sinne des Art. 132 OG sind Leistungen zu verstehen, über deren Rechtmässigkeit bei Eintritt des Versicherungsfalles befunden wird ( BGE 106 V 98 Erw. 3, BGE 98 V 131 ). Darunter fällt nach ständiger Rechtsprechung auch die Rückforderung von Versicherungsleistungen (z.B. Invalidenrenten), nicht jedoch der Erlass einer solchen Rückerstattungsschuld ( BGE 110 V 27 Erw. 3, BGE 98 V 275 Erw. 2; vgl. auch BGE 102 V 245 ; ZAK 1983 S. 507 Erw. 1). Sind im gleichen Verfahren beide Punkte zu prüfen, so gilt grundsätzlich für die Rückerstattungspflicht die erweiterte Kognition nach Art. 132 OG , wogegen für die Erlassfrage Art. 104 lit. a und Art. 105 Abs. 2 OG zu beachten sind ( BGE 98 V 276 Erw. 3). Hinsichtlich des Erlasses kann demnach mit der Verwaltungsgerichtsbeschwerde nur die Verletzung von Bundesrecht einschliesslich Überschreitung oder Missbrauch des Ermessens gerügt werden ( Art. 104 lit. a OG );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Rückforderung von Versicherungsleistungen erstreckt sich dagegen die Überprüfungsbefugnis des Eidg. Versicherungsgerichts auch auf die Angemessenheit der angefochtenen Verfügung; das Gericht ist dabei nicht an die vorinstanzliche Feststellung des rechtserheblichen Sachverhalts gebunden und kann insbesondere über die Begehren der Parteien zu deren Gunsten oder Ungunsten hinausgehen ( Art. 132 OG ).</w:t>
      </w:r>
    </w:p>
    <w:p>
      <w:r>
        <w:rPr>
          <w:b/>
        </w:rPr>
        <w:t>E. 2</w:t>
      </w:r>
    </w:p>
    <w:p>
      <w:r>
        <w:t>a) Eine rückwirkende Aufhebung oder Berichtigung einer Invalidenrente (ex tunc) und damit verbunden die Rückerstattung BGE 112 V 97 S. 101 der zu Unrecht bezogenen Rentenbetreffnisse ( Art. 49 IVG in Verbindung mit Art. 47 AHVG ) greifen dann Platz, wenn der Tatbestand des Art. 88bis Abs. 2 lit. b IVV erfüllt ist. Danach erfolgt die revisionsweise Herabsetzung oder Aufhebung einer Invalidenrente rückwirkend vom Eintritt der für den Anspruch erheblichen Änderung an, wenn die unrichtige Ausrichtung einer Leistung darauf zurückzuführen ist, dass der Bezüger sie unrechtmässig erwirkt hat oder der ihm gemäss Art. 77 IVV zumutbaren Meldepflicht nicht nachgekommen ist. Gemäss Abs. 1 dieser Verordnungsbestimmung haben der Berechtigte oder sein gesetzlicher Vertreter sowie Behörden und Dritte, denen die Leistung zukommt, jede für den Leistungsanspruch wesentliche Änderung, namentlich eine solche des Gesundheitszustandes, der Arbeits- oder Erwerbsfähigkeit, der persönlichen und gegebenenfalls der wirtschaftlichen Verhältnisse des Versicherten unverzüglich der Ausgleichskasse anzuzeigen. Im Falle einer Bevormundung trifft die Meldepflicht daher den Versicherten und seinen Vormund, der kraft Gesetz der Vertreter seines Mündels ist ( Art. 367 Abs. 1 ZGB ). Für den Tatbestand der Meldepflichtverletzung ist ein schuldhaftes Fehlverhalten erforderlich, wobei nach ständiger Rechtsprechung bereits eine leichte Fahrlässigkeit genügt ( BGE 110 V 180 Erw. 3c mit Hinweisen). Da der Tatbestand der Meldepflichtverletzung den Vorwurf eines fehlerhaften Verhaltens umschliesst, ist erforderlich, dass der Meldepflichtige urteilsfähig ist, wie dies auch für die zivilrechtliche Haftung aus unerlaubter Handlung gilt ( Art. 19 Abs. 3 ZGB ). Die Urteilsfähigkeit ist im Sozialversicherungsrecht in bezug auf die in Frage stehende konkrete Handlung und unter Würdigung der bei ihrer Vornahme herrschenden objektiven und subjektiven Verhältnisse zu prüfen ( BGE 108 V 126 Erw. 4). Fehlt die Urteilsfähigkeit, kann der Versicherte für sein Verhalten nicht verantwortlich gemacht werden, so dass sich in einem solchen Fall die Annahme einer schuldhaften Meldepflichtverletzung verbietet. b) Von der eben dargelegten Meldepflicht ist die Rückerstattungspflicht zu unterscheiden. Denn nicht jeder im Sinne von Art. 77 Abs. 1 IVV Meldepflichtige ist auch der Rückerstattungspflicht unterworfen. Die Frage, wer im Falle einer Meldepflichtverletzung die unrechtmässig ausgerichteten Leistungen zurückzuerstatten hat, stellt sich namentlich im Falle eines bevormundeten Versicherten. BGE 112 V 97 S. 102 Auszugehen ist vom Grundsatz, dass das Familienrecht und daher auch das Vormundschaftsrecht eine Ordnung darstellt, die von der Sozialversicherung vorausgesetzt wird und dieser daher grundsätzlich vorgeht ( BGE 102 V 37 mit Hinweisen). Wird die einem bevormundeten Versicherten zustehende Invalidenrente dem Vormund ausbezahlt, so hat dieser zwar hinsichtlich ihrer Verwendung die Vorschriften des Vormundschaftsrechtes zu beachten (vgl. z.B. Art. 401 Abs. 1 und Art. 413 ZGB ); doch bleibt die Invalidenrente trotz der Vormundschaft Teil des Mündelvermögens (Art. 367 Abs. 1 in Verbindung mit Art. 398 ff. ZGB ), weswegen eine allfällige Rückerstattung aus diesem zu erfolgen hat. An dieser vormundschaftsrechtlichen Ordnung hat das Sozialversicherungsrecht nichts geändert. Denn Art. 78 AHVV (anwendbar im Gebiet der Invalidenversicherung kraft Art. 85 Abs. 3 IVV ) erklärt im Falle einer Drittauszahlung nur die in Art. 76 Abs. 1 AHVV erwähnten Personen oder Behörden als rückerstattungspflichtig, nicht jedoch den Vormund, welcher in Art. 76 Abs. 2 AHVV erwähnt wird. Zwar hat das Eidg. Versicherungsgericht im Urteil Bürgergemeinde der Stadt Luzern vom 22. Februar 1984 ( BGE 110 V 10 ) festgehalten, dass nicht nur die in Art. 76 Abs. 1 AHVV bezeichneten Drittpersonen oder Behörden, die dem Rentenberechtigten gegenüber gesetzlich oder sittlich unterstützungspflichtig sind oder ihn dauernd fürsorgerisch betreuen, der Rückerstattungspflicht unterliegen; darüber hinaus seien auch jene Drittempfänger, welchen praxisgemäss die Leistungen ausbezahlt werden, ohne dass die Voraussetzungen des Art. 76 AHVV erfüllt sind, rückerstattungspflichtig; dies treffe auf vom Berechtigten selber bezeichnete Drittempfänger zu, welche die Leistungen nicht nur als Inkasso- oder Zahlstelle entgegennehmen ( BGE 110 V 14 Erw. 2b). Diese Feststellung bezog sich jedoch nicht auf den Vormund. Das Eidg. Versicherungsgericht hat denn auch im unveröffentlichten Urteil Genoud vom 6. Dezember 1983 festgehalten, dass weder der Amtsvormund noch die Vormundschaftsbehörde als gesetzliche Vertreter des Mündels zur Rückerstattung verpflichtet sind. Dementsprechend hat das BSV mit dem Nachtrag 4 (in Kraft seit 1. Januar 1985) zur Wegleitung über die Renten Rz. 1174 verordnungskonform neu gefasst, indem der Verweis auf den in der Verordnungsbestimmung nicht erwähnten Abs. 2 des Art. 76 AHVV fallengelassen wurde (ebenso nunmehr Rz. 1371 der ab anfangs 1986 gültigen Rentenwegleitung). BGE 112 V 97 S. 103 c) Hat sich ein Meldepflichtiger eine Verletzung dieser Obliegenheit zuschulden kommen lassen und ist ihm daraus kraft des Gesetzes die Pflicht zur Rückerstattung der unrechtmässig ausgerichteten Leistungen erwachsen, so stellt sich als nächstes die Frage, ob ihm der Erlass der Rückzahlungsschuld gewährt werden kann. Hiefür ist der im Bereich der Invalidenversicherung laut Art. 49 IVG sinngemäss anwendbare Art. 47 AHVG massgeblich, wonach bei gutem Glauben und gleichzeitigem Vorliegen einer grossen Härte von der Rückforderung der unrechtmässig bezogenen Renten oder Hilflosenentschädigungen abgesehen werden kann. Hiegegen schlägt die auf ZAK 1981 S. 94 gegründete Auffassung der Vorinstanz nicht durch, dass bei einer rückwirkenden Rentenrevision zufolge Meldepflichtverletzung der Erlass schon gestützt auf Art. 88bis Abs. 2 lit. b IVV mangels guten Glaubens zu verweigern sei. Denn zum einen vermag Art. 88bis Abs. 2 lit. b IVV als Verordnungsnorm dem formellgesetzlichen Erlassanspruch des Art. 47 Abs. 1 AHVG nicht zu derogieren. Zum andern gehen die Erwägungen in ZAK 1981 S. 94 davon aus, dass die Meldepflichtverletzung, welche die Rückerstattungspflicht bewirkt, auf arglistiges oder zumindest grobfahrlässiges Fehlverhalten zurückzuführen ist. Das Eidg. Versicherungsgericht hat denn auch in ständiger Rechtsprechung bei der Beurteilung des guten Glaubens am Erfordernis eines arglistigen oder zumindest grobfehlerhaften Verhaltens festgehalten (Nachweise in BGE 110 V 180 Erw. 3c). Daraus erhellt, dass der gute Glaube als Erlassvoraussetzung von vornherein entfällt, wenn der Rückerstattungstatbestand (Melde- oder Auskunftspflichtverletzung) durch ein arglistiges oder grobfahrlässiges Verhalten herbeigeführt wurde. Anderseits kann sich der Versicherte auf den guten Glauben berufen, wenn seine fehlerhafte Handlung oder Unterlassung nur eine leichte Verletzung der Melde- oder Auskunftspflicht darstellt ( BGE 110 V 180 Erw. 3c in fine). Dies hat das Eidg. Versicherungsgericht in zwei neuesten Entscheidungen im Bereich der AHV (Urteil Schreiber vom 4. November 1985) und der Invalidenversicherung (Urteil Broillet vom 10. Dezember 1985) bestätigt.</w:t>
      </w:r>
    </w:p>
    <w:p>
      <w:r>
        <w:rPr>
          <w:b/>
        </w:rPr>
        <w:t>E. 3</w:t>
      </w:r>
    </w:p>
    <w:p>
      <w:r>
        <w:t>a) Die Ausgleichskasse hat die Rückerstattung des Betrages von Fr. 9'732.-- sowohl in der Verfügung vom 20. Juli 1983 als auch in jener vom 17. Oktober 1983 zu Lasten des Amtsvormundes verfügt. Entgegen den Vorbringen der Ausgleichskasse in ihrer Vernehmlassung ist dieses Vorgehen nach dem in Erw. 2b Gesagten unzutreffend, weshalb die gegen den Amtsvormund verfügte Rückerstattung aufzuheben ist. BGE 112 V 97 S. 104 b) Zu prüfen ist im weitern die Rückerstattungspflicht des Beschwerdeführers. Diese ist zu bejahen, sofern er oder sein Vormund sich eine Meldepflichtverletzung haben zuschulden kommen lassen. Als Bevormundeter muss sich der Beschwerdeführer das Verhalten seines gesetzlichen Vertreters anrechnen lassen, wie das Eidg. Versicherungsgericht im bereits erwähnten Urteil Genoud vom 6. Dezember 1983 in bezug auf die Erlassvoraussetzung des guten Glaubens festgestellt hat; die Zurechenbarkeit des Verhaltens des gesetzlichen Vertreters gilt aber selbstverständlich auch für die Belange der Meldepflichterfüllung. Welche Konsequenzen sich aus einem etwaigen fehlerhaften Verhalten des Vormundes im Verhältnis zu seinem Mündel ergeben, kann nicht Gegenstand dieses Sozialversicherungsprozesses sein, sondern wäre nach den Bestimmungen des Vormundschaftsrechtes in einem allfälligen Verantwortlichkeitsverfahren zu beantworten ( Art. 426 ff., Art. 430 Abs. 1 ZGB ). Aus den Akten geht hervor, dass der Beschwerdeführer in psychischer Hinsicht schwer beeinträchtigt und deswegen nicht in der Lage ist, seine Angelegenheiten selber zu besorgen. Nebst seinem Vormund müssen sich auch andere Amtsstellen seit Jahren immer wieder mit ihm befassen, weil er durch seine Lebensweise sich und andere in Gefahr bringt. Das ständige Eingehen untragbarer finanzieller Verpflichtungen im Zusammenhang mit der Miete von Lagerräumlichkeiten, welche er für die Aufbewahrung seines Sammelgutes benützt, zeigt deutlich, dass ihm die im alltäglichen Geschäftsleben erforderliche vernünftige Einsicht abgeht. Daher kann er mangels Urteilsfähigkeit nicht dafür verantwortlich gemacht werden, dass er die Aufnahme seiner Erwerbstätigkeit Mitte Juni 1981 in einem Hotel nicht meldete. Was die Wahrnehmung der Meldepflicht durch den Amtsvormund anbelangt, so ist dessen Versicherung glaubwürdig, dass er von der am 15. Juni 1981 durch den Beschwerdeführer aufgenommenen Erwerbstätigkeit nichts gewusst habe. Diese Unkenntnis wird durch den am 26. Oktober 1981, somit in einem Zeitpunkt verfassten Rechenschaftsbericht des Vormundes bestätigt, als sich die Frage einer möglichen Rückerstattungspflicht noch gar nicht gestellt hatte. Indessen wäre es dem Amtsvormund bei gezielter Befragung sicherlich möglich gewesen, die Erwerbstätigkeit seines Mündels in Erfahrung zu bringen. Denn aus den eingereichten Unterlagen geht hervor, dass der Beschwerdeführer die Auskunft über seine persönlichen Verhältnisse nicht schlechtweg verweigerte, BGE 112 V 97 S. 105 wie z.B. die Abklärung durch den Ombudsmann im Zusammenhang mit der bewohnten Kellerräumlichkeit zeigt. Auf der andern Seite ist es verständlich, dass der Amtsvormund seine Aufmerksamkeit vorwiegend auf die drängendsten Probleme bezüglich der verschiedenen gemieteten Wohnungen, Lagerräumlichkeiten etc. richtete, und nicht auf die Frage einer Erwerbstätigkeit, über die der Beschwerdeführer ihn nicht von sich aus unterrichtete. Bei dieser Sachlage kann dem Amtsvormund zwar keine grobe Pflichtwidrigkeit vorgeworfen werden; ganz schuldlos ist er aber nicht, weil er doch nicht alles Zumutbare unternahm, um über eine mögliche Erwerbstätigkeit seines Mündels informiert zu sein. Daher ist der Tatbestand der Meldepflichtverletzung in der Person des Amtsvormundes erfüllt. Dieses Verhalten seines gesetzlichen Vertreters muss sich der Beschwerdeführer anrechnen lassen, weshalb er (nicht der Vormund) zur Rückerstattung des Betrages von Fr. 9'732.-- verpflichtet ist. c) Was den Erlass dieser Rückerstattungsschuld anbelangt, so kann der gute Glaube des Beschwerdeführers zufolge der auch in diesem Zusammenhang massgeblichen fehlenden Urteilsfähigkeit nicht verneint werden. Aber auch der Amtsvormund kann sich auf den guten Glauben berufen, weil seine Pflichtwidrigkeit, wie dargelegt, nur eine leichte Fahrlässigkeit darstellt. Somit bleibt die Frage zu prüfen, ob die Rückzahlung der Betreffnisse von Fr. 9'732.-- eine grosse Härte im Sinne der Rechtsprechung ( BGE 108 V 58 ) darstellt, wobei diese Frage sich in bezug auf den Beschwerdeführer selber stellt und nach dessen Verhältnissen (nicht denen des Vormundes) zu beantworten ist. Darüber geben die Akten keinen hinreichenden Aufschluss, weshalb die Sache zur Prüfung dieser Erlassvoraussetzung an die Verwaltung zurückzuweisen ist. Dispositiv Demnach erkennt das Eidg. Versicherungsgericht: Die Verwaltungsgerichtsbeschwerde wird in dem Sinne teilweise gutgeheissen, dass der Entscheid der AHV-Rekurskommission des Kantons Zürich vom 5. Dezember 1984 sowie die Kassenverfügungen vom 20. Juli und 17. Oktober 1983 aufgehoben werden und die Sache an die Ausgleichskasse des Kantons Zürich zurückgewiesen wird, damit diese, nach Prüfung der Erlassvoraussetzung der grossen Härte, über das Erlassgesuch des Beschwerdeführers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